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11F" w:rsidRPr="00953800" w:rsidRDefault="00D0611F" w:rsidP="00D0611F">
      <w:pPr>
        <w:spacing w:line="240" w:lineRule="auto"/>
        <w:ind w:firstLine="720"/>
        <w:jc w:val="center"/>
        <w:rPr>
          <w:rFonts w:ascii="Simplified Arabic" w:hAnsi="Simplified Arabic" w:cs="Simplified Arabic"/>
          <w:sz w:val="28"/>
          <w:szCs w:val="28"/>
          <w:rtl/>
        </w:rPr>
      </w:pPr>
      <w:r w:rsidRPr="00953800">
        <w:rPr>
          <w:rFonts w:ascii="Simplified Arabic" w:hAnsi="Simplified Arabic" w:cs="Simplified Arabic"/>
          <w:b/>
          <w:bCs/>
          <w:sz w:val="28"/>
          <w:szCs w:val="28"/>
          <w:rtl/>
          <w:lang w:bidi="ar-IQ"/>
        </w:rPr>
        <w:t>الفصل الرابع</w:t>
      </w:r>
    </w:p>
    <w:p w:rsidR="00D0611F" w:rsidRPr="00953800" w:rsidRDefault="00D0611F" w:rsidP="00D0611F">
      <w:pPr>
        <w:spacing w:line="240" w:lineRule="auto"/>
        <w:jc w:val="center"/>
        <w:rPr>
          <w:rFonts w:ascii="Simplified Arabic" w:hAnsi="Simplified Arabic" w:cs="Simplified Arabic"/>
          <w:b/>
          <w:bCs/>
          <w:sz w:val="28"/>
          <w:szCs w:val="28"/>
          <w:rtl/>
          <w:lang w:bidi="ar-IQ"/>
        </w:rPr>
      </w:pPr>
      <w:r w:rsidRPr="00953800">
        <w:rPr>
          <w:rFonts w:ascii="Simplified Arabic" w:hAnsi="Simplified Arabic" w:cs="Simplified Arabic"/>
          <w:b/>
          <w:bCs/>
          <w:sz w:val="28"/>
          <w:szCs w:val="28"/>
          <w:rtl/>
          <w:lang w:bidi="ar-IQ"/>
        </w:rPr>
        <w:t>الدعوى الإدارية</w:t>
      </w:r>
    </w:p>
    <w:p w:rsidR="00D0611F" w:rsidRPr="00953800" w:rsidRDefault="00D0611F" w:rsidP="00D0611F">
      <w:pPr>
        <w:spacing w:line="240" w:lineRule="auto"/>
        <w:jc w:val="lowKashida"/>
        <w:rPr>
          <w:rFonts w:ascii="Simplified Arabic" w:hAnsi="Simplified Arabic" w:cs="Simplified Arabic"/>
          <w:b/>
          <w:bCs/>
          <w:sz w:val="28"/>
          <w:szCs w:val="28"/>
          <w:rtl/>
          <w:lang w:bidi="ar-IQ"/>
        </w:rPr>
      </w:pPr>
      <w:r w:rsidRPr="00953800">
        <w:rPr>
          <w:rFonts w:ascii="Simplified Arabic" w:hAnsi="Simplified Arabic" w:cs="Simplified Arabic"/>
          <w:b/>
          <w:bCs/>
          <w:sz w:val="28"/>
          <w:szCs w:val="28"/>
          <w:rtl/>
          <w:lang w:bidi="ar-IQ"/>
        </w:rPr>
        <w:t>مقدمة</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إذا كان مبدأ المشروعية يقضي بضرورة اتفاق الأعمال الصادرة </w:t>
      </w:r>
      <w:r w:rsidRPr="00953800">
        <w:rPr>
          <w:rFonts w:ascii="Simplified Arabic" w:hAnsi="Simplified Arabic" w:cs="Simplified Arabic" w:hint="cs"/>
          <w:sz w:val="28"/>
          <w:szCs w:val="28"/>
          <w:rtl/>
          <w:lang w:bidi="ar-IQ"/>
        </w:rPr>
        <w:t>ع</w:t>
      </w:r>
      <w:r w:rsidRPr="00953800">
        <w:rPr>
          <w:rFonts w:ascii="Simplified Arabic" w:hAnsi="Simplified Arabic" w:cs="Simplified Arabic"/>
          <w:sz w:val="28"/>
          <w:szCs w:val="28"/>
          <w:rtl/>
          <w:lang w:bidi="ar-IQ"/>
        </w:rPr>
        <w:t xml:space="preserve">ن الإدارة مع القانون </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فما هي الضمانة التي تكفل ذلك ؟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إن الضمانة لذلك تتمثل بالرقابة على أعمال الإدارة بصورة عامة والرقابة القضائية بصورة خاصة</w:t>
      </w:r>
      <w:r w:rsidRPr="00953800">
        <w:rPr>
          <w:rFonts w:ascii="Simplified Arabic" w:hAnsi="Simplified Arabic" w:cs="Simplified Arabic" w:hint="cs"/>
          <w:sz w:val="28"/>
          <w:szCs w:val="28"/>
          <w:rtl/>
          <w:lang w:bidi="ar-IQ"/>
        </w:rPr>
        <w:t xml:space="preserve"> و</w:t>
      </w:r>
      <w:r w:rsidRPr="00953800">
        <w:rPr>
          <w:rFonts w:ascii="Simplified Arabic" w:hAnsi="Simplified Arabic" w:cs="Simplified Arabic"/>
          <w:sz w:val="28"/>
          <w:szCs w:val="28"/>
          <w:rtl/>
          <w:lang w:bidi="ar-IQ"/>
        </w:rPr>
        <w:t>التي تعد الوسيلة الأكثر فاعلية في حماية مبدأ المشروعية، ولما كان من الثابت أن الرقابة القضائية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تتحرك بصورة تلقائية وإنما بمناسبة دعوى يقيمها أصحاب الشأن،   سندرس في هذا المجال الدعوى الإدارية  وتحديدا دعوى الإلغاء من خلال مجموعة من المباحث على أن يسبق ذلك كله التعريف بالقواعد الموضوعية والإجرائية في الدعوى الإدارية.</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أولا: القواعد الموضوعية والإجرائية في الدعوى الإدارية . </w:t>
      </w:r>
    </w:p>
    <w:p w:rsidR="00D0611F" w:rsidRPr="00953800" w:rsidRDefault="00D0611F" w:rsidP="00D0611F">
      <w:pPr>
        <w:numPr>
          <w:ilvl w:val="0"/>
          <w:numId w:val="1"/>
        </w:numPr>
        <w:tabs>
          <w:tab w:val="num" w:pos="26"/>
        </w:tabs>
        <w:spacing w:after="0" w:line="240" w:lineRule="auto"/>
        <w:ind w:left="26" w:firstLine="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القواعد الموضوعية : وهي القواعد التي تتصل بموضوع النزاع وجوهره . ومثال هذه القواعد ( القواعد التي تحدد  عيوب القرار الإداري والمؤدية إلى إلغاءه)</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وتجد هذه القواعد مصدرها بصورة أساسية في قانون مجلس شورى الدولة العراقي </w:t>
      </w:r>
      <w:r w:rsidRPr="00953800">
        <w:rPr>
          <w:rFonts w:ascii="Simplified Arabic" w:hAnsi="Simplified Arabic" w:cs="Simplified Arabic" w:hint="cs"/>
          <w:sz w:val="28"/>
          <w:szCs w:val="28"/>
          <w:rtl/>
          <w:lang w:bidi="ar-IQ"/>
        </w:rPr>
        <w:t>.</w:t>
      </w:r>
    </w:p>
    <w:p w:rsidR="00D0611F" w:rsidRPr="00953800" w:rsidRDefault="00D0611F" w:rsidP="00D0611F">
      <w:pPr>
        <w:numPr>
          <w:ilvl w:val="0"/>
          <w:numId w:val="1"/>
        </w:numPr>
        <w:tabs>
          <w:tab w:val="num" w:pos="386"/>
        </w:tabs>
        <w:spacing w:after="0" w:line="240" w:lineRule="auto"/>
        <w:ind w:left="26" w:firstLine="0"/>
        <w:jc w:val="lowKashida"/>
        <w:rPr>
          <w:rFonts w:ascii="Simplified Arabic" w:hAnsi="Simplified Arabic" w:cs="Simplified Arabic"/>
          <w:b/>
          <w:bCs/>
          <w:sz w:val="28"/>
          <w:szCs w:val="28"/>
          <w:rtl/>
          <w:lang w:bidi="ar-IQ"/>
        </w:rPr>
      </w:pPr>
      <w:r w:rsidRPr="00953800">
        <w:rPr>
          <w:rFonts w:ascii="Simplified Arabic" w:hAnsi="Simplified Arabic" w:cs="Simplified Arabic"/>
          <w:sz w:val="28"/>
          <w:szCs w:val="28"/>
          <w:rtl/>
          <w:lang w:bidi="ar-IQ"/>
        </w:rPr>
        <w:t>القواعد الإجرائية : وهي القواعد التي تبين الإجراءات الواجب إتباعها في الدعوى الإدارية بدءا من تحريكها وانتهاء بصدور الحكم  وتكتسب هذه القواعد أهمية استثنائية كونها تمثل الوسيلة لتطبيق القواعد الموضوعية تطبيقا سليما وتجد هذه القواعد مصدرها في قانون مجلس</w:t>
      </w:r>
      <w:r w:rsidRPr="00953800">
        <w:rPr>
          <w:rFonts w:ascii="Simplified Arabic" w:hAnsi="Simplified Arabic" w:cs="Simplified Arabic" w:hint="cs"/>
          <w:sz w:val="28"/>
          <w:szCs w:val="28"/>
          <w:rtl/>
          <w:lang w:bidi="ar-IQ"/>
        </w:rPr>
        <w:t xml:space="preserve"> الدولة</w:t>
      </w:r>
      <w:r w:rsidRPr="00953800">
        <w:rPr>
          <w:rFonts w:ascii="Simplified Arabic" w:hAnsi="Simplified Arabic" w:cs="Simplified Arabic"/>
          <w:sz w:val="28"/>
          <w:szCs w:val="28"/>
          <w:rtl/>
          <w:lang w:bidi="ar-IQ"/>
        </w:rPr>
        <w:t xml:space="preserve"> وقانون المرافعات المدنية رقم ( 83) لسنة</w:t>
      </w:r>
      <w:r w:rsidRPr="00953800">
        <w:rPr>
          <w:rFonts w:ascii="Simplified Arabic" w:hAnsi="Simplified Arabic" w:cs="Simplified Arabic" w:hint="cs"/>
          <w:sz w:val="28"/>
          <w:szCs w:val="28"/>
          <w:rtl/>
          <w:lang w:bidi="ar-IQ"/>
        </w:rPr>
        <w:t>1969 وقانون الإثبات رقم( 107) لسنة 1979 وقانون أصول المحاكمات الجزائية رقم( 23) لسنة 1971 وقانون الرسوم العدلية رقم (114) لسنة 1981</w:t>
      </w:r>
      <w:r w:rsidRPr="00953800">
        <w:rPr>
          <w:rFonts w:ascii="Simplified Arabic" w:hAnsi="Simplified Arabic" w:cs="Simplified Arabic"/>
          <w:sz w:val="28"/>
          <w:szCs w:val="28"/>
          <w:rtl/>
          <w:lang w:bidi="ar-IQ"/>
        </w:rPr>
        <w:t xml:space="preserve"> .وتكتسب هذه القواعد</w:t>
      </w:r>
      <w:r w:rsidRPr="00953800">
        <w:rPr>
          <w:rFonts w:ascii="Simplified Arabic" w:hAnsi="Simplified Arabic" w:cs="Simplified Arabic"/>
          <w:b/>
          <w:bCs/>
          <w:sz w:val="28"/>
          <w:szCs w:val="28"/>
          <w:rtl/>
          <w:lang w:bidi="ar-IQ"/>
        </w:rPr>
        <w:t xml:space="preserve"> أهمية كونها تمثل الوسيلة إلى تطبيق القواعد الموضوعية تطبيقا سليما.</w:t>
      </w:r>
    </w:p>
    <w:p w:rsidR="00D0611F" w:rsidRPr="00953800" w:rsidRDefault="00D0611F" w:rsidP="00D0611F">
      <w:pPr>
        <w:spacing w:line="240" w:lineRule="auto"/>
        <w:jc w:val="lowKashida"/>
        <w:rPr>
          <w:rFonts w:ascii="Simplified Arabic" w:hAnsi="Simplified Arabic" w:cs="Simplified Arabic"/>
          <w:b/>
          <w:bCs/>
          <w:sz w:val="28"/>
          <w:szCs w:val="28"/>
          <w:lang w:bidi="ar-IQ"/>
        </w:rPr>
      </w:pPr>
    </w:p>
    <w:p w:rsidR="00D0611F" w:rsidRPr="00953800" w:rsidRDefault="00D0611F" w:rsidP="00D0611F">
      <w:pPr>
        <w:spacing w:line="240" w:lineRule="auto"/>
        <w:jc w:val="lowKashida"/>
        <w:rPr>
          <w:rFonts w:ascii="Simplified Arabic" w:hAnsi="Simplified Arabic" w:cs="Simplified Arabic"/>
          <w:b/>
          <w:bCs/>
          <w:sz w:val="28"/>
          <w:szCs w:val="28"/>
          <w:rtl/>
          <w:lang w:bidi="ar-IQ"/>
        </w:rPr>
      </w:pPr>
    </w:p>
    <w:p w:rsidR="00D0611F" w:rsidRPr="00953800" w:rsidRDefault="00D0611F" w:rsidP="00D0611F">
      <w:pPr>
        <w:spacing w:line="240" w:lineRule="auto"/>
        <w:jc w:val="center"/>
        <w:rPr>
          <w:rFonts w:ascii="Simplified Arabic" w:hAnsi="Simplified Arabic" w:cs="Simplified Arabic"/>
          <w:b/>
          <w:bCs/>
          <w:sz w:val="28"/>
          <w:szCs w:val="28"/>
          <w:lang w:bidi="ar-IQ"/>
        </w:rPr>
      </w:pPr>
      <w:r w:rsidRPr="00953800">
        <w:rPr>
          <w:rFonts w:ascii="Simplified Arabic" w:hAnsi="Simplified Arabic" w:cs="Simplified Arabic"/>
          <w:b/>
          <w:bCs/>
          <w:sz w:val="28"/>
          <w:szCs w:val="28"/>
          <w:rtl/>
          <w:lang w:bidi="ar-IQ"/>
        </w:rPr>
        <w:lastRenderedPageBreak/>
        <w:t>المبحث الأول</w:t>
      </w:r>
    </w:p>
    <w:p w:rsidR="00D0611F" w:rsidRPr="00953800" w:rsidRDefault="00D0611F" w:rsidP="00D0611F">
      <w:pPr>
        <w:spacing w:line="240" w:lineRule="auto"/>
        <w:jc w:val="center"/>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ماهية  الدعوى الإدارية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المطلب الأول: مفهوم الدعوى الإدارية</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 xml:space="preserve">الفرع الأول </w:t>
      </w:r>
      <w:r w:rsidRPr="00953800">
        <w:rPr>
          <w:rFonts w:ascii="Simplified Arabic" w:hAnsi="Simplified Arabic" w:cs="Simplified Arabic"/>
          <w:sz w:val="28"/>
          <w:szCs w:val="28"/>
          <w:rtl/>
          <w:lang w:bidi="ar-IQ"/>
        </w:rPr>
        <w:t>:تعريف الدعوى الإدارية.</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ذكرنا إن الدعوى الإدارية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تنش</w:t>
      </w:r>
      <w:r w:rsidRPr="00953800">
        <w:rPr>
          <w:rFonts w:ascii="Simplified Arabic" w:hAnsi="Simplified Arabic" w:cs="Simplified Arabic" w:hint="cs"/>
          <w:sz w:val="28"/>
          <w:szCs w:val="28"/>
          <w:rtl/>
          <w:lang w:bidi="ar-IQ"/>
        </w:rPr>
        <w:t>أ</w:t>
      </w:r>
      <w:r w:rsidRPr="00953800">
        <w:rPr>
          <w:rFonts w:ascii="Simplified Arabic" w:hAnsi="Simplified Arabic" w:cs="Simplified Arabic"/>
          <w:sz w:val="28"/>
          <w:szCs w:val="28"/>
          <w:rtl/>
          <w:lang w:bidi="ar-IQ"/>
        </w:rPr>
        <w:t xml:space="preserve"> إلا حيث توجد دعوى</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 فما المقصود بالدعوى ؟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عرف قانون المرافعات المدنية الدعوى </w:t>
      </w:r>
      <w:r w:rsidRPr="00953800">
        <w:rPr>
          <w:rFonts w:ascii="Simplified Arabic" w:hAnsi="Simplified Arabic" w:cs="Simplified Arabic" w:hint="cs"/>
          <w:sz w:val="28"/>
          <w:szCs w:val="28"/>
          <w:rtl/>
          <w:lang w:bidi="ar-IQ"/>
        </w:rPr>
        <w:t>بأنها</w:t>
      </w:r>
      <w:r w:rsidRPr="00953800">
        <w:rPr>
          <w:rFonts w:ascii="Simplified Arabic" w:hAnsi="Simplified Arabic" w:cs="Simplified Arabic"/>
          <w:sz w:val="28"/>
          <w:szCs w:val="28"/>
          <w:rtl/>
          <w:lang w:bidi="ar-IQ"/>
        </w:rPr>
        <w:t xml:space="preserve"> ( طلب شخص حقه من آخر أمام القضاء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هل ينطبق هذا التعريف العام للدعوى على الدعوى الإدارية ؟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إن التعريف المتقدم (وكما سنلاحظ )إذا كان يتفق مع دعوى القضاء الكامل فانه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يتفق مع طبيعة دعوى الإلغاء، ذلك إن دعوى الإلغاء تهدف بالدرجة الأساس إلى حماية مبدأ المشروعية، فضلا </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عن إن المخاصم فيها هو القرار الإداري وليس شخص </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لذلك يمكننا تعريف الدعوى الإدارية بصورة عامة بأنها (  دعوى يقيمها أصحاب الشأن أما للمطالبة بإلغاء قرار إداري لعدم مشروعيته ( دعوى الإلغاء ) أو التعويض أو كليهما معا ( دعوى القضاء الكامل ) .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 xml:space="preserve">الفرع الثاني </w:t>
      </w:r>
      <w:r w:rsidRPr="00953800">
        <w:rPr>
          <w:rFonts w:ascii="Simplified Arabic" w:hAnsi="Simplified Arabic" w:cs="Simplified Arabic"/>
          <w:sz w:val="28"/>
          <w:szCs w:val="28"/>
          <w:rtl/>
          <w:lang w:bidi="ar-IQ"/>
        </w:rPr>
        <w:t>:تمييز الدعوى الإدارية عن الدعوى المدنية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سنقتصر في هذا المجال على بيان أوجه الاختلاف بين دعوى الإلغاء والدعوى المدنية ، على اعتبار إن دعوى الإلغاء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تختلف كثيرا عن الدعوى المدنية . </w:t>
      </w:r>
    </w:p>
    <w:p w:rsidR="00D0611F" w:rsidRPr="00953800" w:rsidRDefault="00D0611F" w:rsidP="00D0611F">
      <w:pPr>
        <w:numPr>
          <w:ilvl w:val="0"/>
          <w:numId w:val="2"/>
        </w:numPr>
        <w:spacing w:after="0"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من حيث المحكمة المختصة ( الدعوى ) .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تختص المحاكم الإدارية بنظر الدعوى الإدارية ، بينما المحاكم المدنية هي المختصة بنظر الدعوى المدنية . </w:t>
      </w:r>
    </w:p>
    <w:p w:rsidR="00D0611F" w:rsidRPr="00953800" w:rsidRDefault="00D0611F" w:rsidP="00D0611F">
      <w:pPr>
        <w:numPr>
          <w:ilvl w:val="0"/>
          <w:numId w:val="2"/>
        </w:numPr>
        <w:spacing w:after="0"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من حيث الطبيعة : </w:t>
      </w:r>
    </w:p>
    <w:p w:rsidR="00D0611F" w:rsidRPr="00953800" w:rsidRDefault="00D0611F" w:rsidP="00D0611F">
      <w:pPr>
        <w:spacing w:line="240" w:lineRule="auto"/>
        <w:ind w:firstLine="36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توصف دعوى الإلغاء بأنها دعوى ذات طبيعة عينية، كونها تتضمن مخاصمة قرار إداري يعتقد الأفراد انه صدر خلافا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لقواعد المشروعية ، بينما توصف الدعوى المدنية بأنها دعوى ذا طبيعة شخصية لان الطاعن يقيمها مطالبا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بحقوق شخصية. </w:t>
      </w:r>
    </w:p>
    <w:p w:rsidR="00D0611F" w:rsidRPr="00953800" w:rsidRDefault="00D0611F" w:rsidP="00D0611F">
      <w:pPr>
        <w:numPr>
          <w:ilvl w:val="0"/>
          <w:numId w:val="2"/>
        </w:numPr>
        <w:spacing w:after="0"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من حيث الإجراءات : </w:t>
      </w:r>
    </w:p>
    <w:p w:rsidR="00D0611F" w:rsidRPr="00953800" w:rsidRDefault="00D0611F" w:rsidP="00D0611F">
      <w:pPr>
        <w:spacing w:line="240" w:lineRule="auto"/>
        <w:ind w:firstLine="36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lastRenderedPageBreak/>
        <w:t>تمتاز إجراءات دعوى الإلغاء بالبساطة مقارنة بالدعوى المدنية وذلك تشجيعا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للأفراد على إقامة هذه الدعوى التي تهدف إلى حماية مبدأ المشروعية .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  4-من حيث الحكم :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يقتصر الحكم في دعوى الإلغاء على تقرير المشروعية من عدمها، بينما يمتد اثر الحكم في الدعوى المدنية إلى تقرير الحقوق الشخصية للطاعن .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5</w:t>
      </w:r>
      <w:r w:rsidRPr="00953800">
        <w:rPr>
          <w:rFonts w:ascii="Simplified Arabic" w:hAnsi="Simplified Arabic" w:cs="Simplified Arabic"/>
          <w:sz w:val="28"/>
          <w:szCs w:val="28"/>
          <w:rtl/>
          <w:lang w:bidi="ar-IQ"/>
        </w:rPr>
        <w:t>- من حيث الأثر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لما كانت دعوى الإلغاء  تهدف إلى حماية مبدأ المشروعية فان اثر الحكم فيها ينصرف إلى الكافة ، بينما يقتصر اثر الحكم في الدعوى المدنية وتبعا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لطابعها الشخصي على أطرافها.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 xml:space="preserve">المطلب الثاني </w:t>
      </w:r>
      <w:r w:rsidRPr="00953800">
        <w:rPr>
          <w:rFonts w:ascii="Simplified Arabic" w:hAnsi="Simplified Arabic" w:cs="Simplified Arabic"/>
          <w:sz w:val="28"/>
          <w:szCs w:val="28"/>
          <w:rtl/>
          <w:lang w:bidi="ar-IQ"/>
        </w:rPr>
        <w:t xml:space="preserve">:أنواع الدعاوى الإدارية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يختص القضاء الإداري بنظر أنواع متعددة من الدعاوي تتمثل ب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1- دعوى الإلغاء.     2- دعوى القضاء الكامل.    3- دعاوى أخرى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b/>
          <w:bCs/>
          <w:sz w:val="28"/>
          <w:szCs w:val="28"/>
          <w:rtl/>
          <w:lang w:bidi="ar-IQ"/>
        </w:rPr>
        <w:t>الفرع الأول</w:t>
      </w:r>
      <w:r w:rsidRPr="00953800">
        <w:rPr>
          <w:rFonts w:ascii="Simplified Arabic" w:hAnsi="Simplified Arabic" w:cs="Simplified Arabic"/>
          <w:b/>
          <w:bCs/>
          <w:sz w:val="28"/>
          <w:szCs w:val="28"/>
          <w:rtl/>
          <w:lang w:bidi="ar-IQ"/>
        </w:rPr>
        <w:t>-</w:t>
      </w:r>
      <w:r w:rsidRPr="00953800">
        <w:rPr>
          <w:rFonts w:ascii="Simplified Arabic" w:hAnsi="Simplified Arabic" w:cs="Simplified Arabic"/>
          <w:sz w:val="28"/>
          <w:szCs w:val="28"/>
          <w:rtl/>
          <w:lang w:bidi="ar-IQ"/>
        </w:rPr>
        <w:t xml:space="preserve">دعوى الإلغاء :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هي دعوى موضوعية </w:t>
      </w:r>
      <w:r w:rsidRPr="00953800">
        <w:rPr>
          <w:rFonts w:ascii="Simplified Arabic" w:hAnsi="Simplified Arabic" w:cs="Simplified Arabic" w:hint="cs"/>
          <w:sz w:val="28"/>
          <w:szCs w:val="28"/>
          <w:rtl/>
          <w:lang w:bidi="ar-IQ"/>
        </w:rPr>
        <w:t xml:space="preserve">أو </w:t>
      </w:r>
      <w:r w:rsidRPr="00953800">
        <w:rPr>
          <w:rFonts w:ascii="Simplified Arabic" w:hAnsi="Simplified Arabic" w:cs="Simplified Arabic"/>
          <w:sz w:val="28"/>
          <w:szCs w:val="28"/>
          <w:rtl/>
          <w:lang w:bidi="ar-IQ"/>
        </w:rPr>
        <w:t xml:space="preserve">عينية توجه إلى قرار إداري يعتقد الطاعن انه صدر خلافا لقواعد القانون </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وتقتصر سلطة القاضي إزاء هذه الدعوى على بيان المشروعية من عدمها</w:t>
      </w:r>
      <w:r w:rsidRPr="00953800">
        <w:rPr>
          <w:rFonts w:ascii="Simplified Arabic" w:hAnsi="Simplified Arabic" w:cs="Simplified Arabic" w:hint="cs"/>
          <w:sz w:val="28"/>
          <w:szCs w:val="28"/>
          <w:rtl/>
          <w:lang w:bidi="ar-IQ"/>
        </w:rPr>
        <w:t xml:space="preserve"> من</w:t>
      </w:r>
      <w:r w:rsidRPr="00953800">
        <w:rPr>
          <w:rFonts w:ascii="Simplified Arabic" w:hAnsi="Simplified Arabic" w:cs="Simplified Arabic"/>
          <w:sz w:val="28"/>
          <w:szCs w:val="28"/>
          <w:rtl/>
          <w:lang w:bidi="ar-IQ"/>
        </w:rPr>
        <w:t xml:space="preserve"> دون أن تمتد إلى بيان الحل المناسب للإدارة أو التعويض</w:t>
      </w:r>
      <w:r w:rsidRPr="00953800">
        <w:rPr>
          <w:rFonts w:ascii="Simplified Arabic" w:hAnsi="Simplified Arabic" w:cs="Simplified Arabic" w:hint="cs"/>
          <w:sz w:val="28"/>
          <w:szCs w:val="28"/>
          <w:rtl/>
          <w:lang w:bidi="ar-IQ"/>
        </w:rPr>
        <w:t>.</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الفرع الثاني</w:t>
      </w:r>
      <w:r w:rsidRPr="00953800">
        <w:rPr>
          <w:rFonts w:ascii="Simplified Arabic" w:hAnsi="Simplified Arabic" w:cs="Simplified Arabic"/>
          <w:sz w:val="28"/>
          <w:szCs w:val="28"/>
          <w:rtl/>
          <w:lang w:bidi="ar-IQ"/>
        </w:rPr>
        <w:t xml:space="preserve">-دعوى القضاء الكامل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دعوى القضاء الكامل هي دعوى إدارية يقيمها الطاعن مطالبا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فيها بحق شخصي له</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لذا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تقتصر سلطة القاضي هنا على تقرير المشروعية أو عدمها، وإنما تمتد إلى بيان الحقوق </w:t>
      </w:r>
      <w:r w:rsidRPr="00953800">
        <w:rPr>
          <w:rFonts w:ascii="Simplified Arabic" w:hAnsi="Simplified Arabic" w:cs="Simplified Arabic"/>
          <w:sz w:val="28"/>
          <w:szCs w:val="28"/>
          <w:rtl/>
          <w:lang w:bidi="ar-IQ"/>
        </w:rPr>
        <w:lastRenderedPageBreak/>
        <w:t>الواجبة للطاعن بما فيها التعويض</w:t>
      </w:r>
      <w:r w:rsidRPr="00953800">
        <w:rPr>
          <w:rFonts w:ascii="Simplified Arabic" w:hAnsi="Simplified Arabic" w:cs="Simplified Arabic" w:hint="cs"/>
          <w:sz w:val="28"/>
          <w:szCs w:val="28"/>
          <w:rtl/>
          <w:lang w:bidi="ar-IQ"/>
        </w:rPr>
        <w:t xml:space="preserve"> , </w:t>
      </w:r>
      <w:r w:rsidRPr="00953800">
        <w:rPr>
          <w:rFonts w:ascii="Simplified Arabic" w:hAnsi="Simplified Arabic" w:cs="Simplified Arabic"/>
          <w:sz w:val="28"/>
          <w:szCs w:val="28"/>
          <w:rtl/>
          <w:lang w:bidi="ar-IQ"/>
        </w:rPr>
        <w:t>ومن أمثلة منازعات هذا القضاء</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المنازعات المتعلقة بالعقود الإدارية، المنازعات الخاصة بحقوق الموظفين.  </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الفرع الثالث</w:t>
      </w:r>
      <w:r w:rsidRPr="00953800">
        <w:rPr>
          <w:rFonts w:ascii="Simplified Arabic" w:hAnsi="Simplified Arabic" w:cs="Simplified Arabic"/>
          <w:sz w:val="28"/>
          <w:szCs w:val="28"/>
          <w:rtl/>
          <w:lang w:bidi="ar-IQ"/>
        </w:rPr>
        <w:t xml:space="preserve">-دعاوى أخرى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يختص القضاء الإداري بنظر دعاوى أخرى إلى جانب دعوى الإلغاء والقضاء الكامل </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وتتمثل بما يلي : </w:t>
      </w:r>
    </w:p>
    <w:p w:rsidR="00D0611F" w:rsidRPr="00953800" w:rsidRDefault="00D0611F" w:rsidP="00D0611F">
      <w:pPr>
        <w:numPr>
          <w:ilvl w:val="0"/>
          <w:numId w:val="3"/>
        </w:numPr>
        <w:tabs>
          <w:tab w:val="num" w:pos="206"/>
        </w:tabs>
        <w:spacing w:after="0" w:line="240" w:lineRule="auto"/>
        <w:ind w:left="26" w:firstLine="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دعوى التفسير : تنشا دعوى التفسير بمناسبة دفع يثار</w:t>
      </w:r>
      <w:r w:rsidRPr="00953800">
        <w:rPr>
          <w:rFonts w:ascii="Simplified Arabic" w:hAnsi="Simplified Arabic" w:cs="Simplified Arabic" w:hint="cs"/>
          <w:sz w:val="28"/>
          <w:szCs w:val="28"/>
          <w:rtl/>
          <w:lang w:bidi="ar-IQ"/>
        </w:rPr>
        <w:t xml:space="preserve"> أمام</w:t>
      </w:r>
      <w:r w:rsidRPr="00953800">
        <w:rPr>
          <w:rFonts w:ascii="Simplified Arabic" w:hAnsi="Simplified Arabic" w:cs="Simplified Arabic"/>
          <w:sz w:val="28"/>
          <w:szCs w:val="28"/>
          <w:rtl/>
          <w:lang w:bidi="ar-IQ"/>
        </w:rPr>
        <w:t xml:space="preserve"> محكمة مدنية يتعلق بقرار إداري فتتولى تلك المحكمة وبعد التوقف عن نظر الدعوى إحالة الأمر أو القرار إلى المحكمة الإدارية لتتولى تفسيره أو تقرير مشروعيته فقط، ومن ثم تعيده إلى المحكمة المدنية لتستأنف النظر في الدعوى. </w:t>
      </w:r>
    </w:p>
    <w:p w:rsidR="00D0611F" w:rsidRPr="00953800" w:rsidRDefault="00D0611F" w:rsidP="00D0611F">
      <w:pPr>
        <w:numPr>
          <w:ilvl w:val="0"/>
          <w:numId w:val="3"/>
        </w:numPr>
        <w:tabs>
          <w:tab w:val="num" w:pos="26"/>
        </w:tabs>
        <w:spacing w:after="0" w:line="240" w:lineRule="auto"/>
        <w:ind w:left="26" w:firstLine="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دعوى العقاب : هي دعوى يقيمها الطاعن لإيقاع عقوبات جنائية تجاه مرتكبي مخالفات معينة</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كما هو الحال بالنسبة لمخالفات الاعتداء على المال العام في فرنسا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hint="cs"/>
          <w:sz w:val="28"/>
          <w:szCs w:val="28"/>
          <w:rtl/>
          <w:lang w:bidi="ar-IQ"/>
        </w:rPr>
        <w:t xml:space="preserve">الفرع الرابع </w:t>
      </w:r>
      <w:r w:rsidRPr="00953800">
        <w:rPr>
          <w:rFonts w:ascii="Simplified Arabic" w:hAnsi="Simplified Arabic" w:cs="Simplified Arabic"/>
          <w:sz w:val="28"/>
          <w:szCs w:val="28"/>
          <w:rtl/>
          <w:lang w:bidi="ar-IQ"/>
        </w:rPr>
        <w:t xml:space="preserve">:الجمع بين دعوى الإلغاء والتعويض. </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كانت القاعدة المتبعة في فرنسا تقوم على أساس استقلال دعوى الإلغاء عن دعوى التعويض</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أي </w:t>
      </w:r>
      <w:r w:rsidRPr="00953800">
        <w:rPr>
          <w:rFonts w:ascii="Simplified Arabic" w:hAnsi="Simplified Arabic" w:cs="Simplified Arabic" w:hint="cs"/>
          <w:sz w:val="28"/>
          <w:szCs w:val="28"/>
          <w:rtl/>
          <w:lang w:bidi="ar-IQ"/>
        </w:rPr>
        <w:t xml:space="preserve"> أن </w:t>
      </w:r>
      <w:r w:rsidRPr="00953800">
        <w:rPr>
          <w:rFonts w:ascii="Simplified Arabic" w:hAnsi="Simplified Arabic" w:cs="Simplified Arabic"/>
          <w:sz w:val="28"/>
          <w:szCs w:val="28"/>
          <w:rtl/>
          <w:lang w:bidi="ar-IQ"/>
        </w:rPr>
        <w:t>من يريد الطعن في القرار الإداري إلغاء</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وتعويضا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عليه أن يقيم دعويين مستقلتين وبناء</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على ذلك ينظر القضاء في دعوى الإلغاء وبعد ذلك ينظر في دعوى التعويض</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إلا إن هذا الحال لم يستمر بسبب ما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حمله من تأخير في حسم الدعاوي لذا  سمح مجلس  الدولة الفرنسي وفي تطور لاحق </w:t>
      </w:r>
      <w:r w:rsidRPr="00953800">
        <w:rPr>
          <w:rFonts w:ascii="Simplified Arabic" w:hAnsi="Simplified Arabic" w:cs="Simplified Arabic" w:hint="cs"/>
          <w:sz w:val="28"/>
          <w:szCs w:val="28"/>
          <w:rtl/>
          <w:lang w:bidi="ar-IQ"/>
        </w:rPr>
        <w:t>ب</w:t>
      </w:r>
      <w:r w:rsidRPr="00953800">
        <w:rPr>
          <w:rFonts w:ascii="Simplified Arabic" w:hAnsi="Simplified Arabic" w:cs="Simplified Arabic"/>
          <w:sz w:val="28"/>
          <w:szCs w:val="28"/>
          <w:rtl/>
          <w:lang w:bidi="ar-IQ"/>
        </w:rPr>
        <w:t>إقامة كلا الدعو</w:t>
      </w:r>
      <w:r w:rsidRPr="00953800">
        <w:rPr>
          <w:rFonts w:ascii="Simplified Arabic" w:hAnsi="Simplified Arabic" w:cs="Simplified Arabic" w:hint="cs"/>
          <w:sz w:val="28"/>
          <w:szCs w:val="28"/>
          <w:rtl/>
          <w:lang w:bidi="ar-IQ"/>
        </w:rPr>
        <w:t>ي</w:t>
      </w:r>
      <w:r w:rsidRPr="00953800">
        <w:rPr>
          <w:rFonts w:ascii="Simplified Arabic" w:hAnsi="Simplified Arabic" w:cs="Simplified Arabic"/>
          <w:sz w:val="28"/>
          <w:szCs w:val="28"/>
          <w:rtl/>
          <w:lang w:bidi="ar-IQ"/>
        </w:rPr>
        <w:t>ين في وقت واحد مع عدم الإخلال باستقلالهما.</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center"/>
        <w:rPr>
          <w:rFonts w:ascii="Simplified Arabic" w:hAnsi="Simplified Arabic" w:cs="Simplified Arabic"/>
          <w:sz w:val="28"/>
          <w:szCs w:val="28"/>
          <w:rtl/>
          <w:lang w:bidi="ar-IQ"/>
        </w:rPr>
      </w:pPr>
      <w:r w:rsidRPr="00953800">
        <w:rPr>
          <w:rFonts w:ascii="Simplified Arabic" w:hAnsi="Simplified Arabic" w:cs="Simplified Arabic"/>
          <w:b/>
          <w:bCs/>
          <w:sz w:val="28"/>
          <w:szCs w:val="28"/>
          <w:rtl/>
          <w:lang w:bidi="ar-IQ"/>
        </w:rPr>
        <w:t>المبحث الثاني</w:t>
      </w:r>
    </w:p>
    <w:p w:rsidR="00D0611F" w:rsidRPr="00953800" w:rsidRDefault="00D0611F" w:rsidP="00D0611F">
      <w:pPr>
        <w:spacing w:line="240" w:lineRule="auto"/>
        <w:jc w:val="center"/>
        <w:rPr>
          <w:rFonts w:ascii="Simplified Arabic" w:hAnsi="Simplified Arabic" w:cs="Simplified Arabic"/>
          <w:b/>
          <w:bCs/>
          <w:sz w:val="28"/>
          <w:szCs w:val="28"/>
          <w:rtl/>
          <w:lang w:bidi="ar-IQ"/>
        </w:rPr>
      </w:pPr>
      <w:r w:rsidRPr="00953800">
        <w:rPr>
          <w:rFonts w:ascii="Simplified Arabic" w:hAnsi="Simplified Arabic" w:cs="Simplified Arabic"/>
          <w:b/>
          <w:bCs/>
          <w:sz w:val="28"/>
          <w:szCs w:val="28"/>
          <w:rtl/>
          <w:lang w:bidi="ar-IQ"/>
        </w:rPr>
        <w:t>دعوى الإلغاء</w:t>
      </w: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Pr="00953800" w:rsidRDefault="00D0611F" w:rsidP="00D0611F">
      <w:pPr>
        <w:spacing w:line="240" w:lineRule="auto"/>
        <w:jc w:val="lowKashida"/>
        <w:rPr>
          <w:rFonts w:ascii="Simplified Arabic" w:hAnsi="Simplified Arabic" w:cs="Simplified Arabic"/>
          <w:b/>
          <w:bCs/>
          <w:sz w:val="28"/>
          <w:szCs w:val="28"/>
          <w:rtl/>
          <w:lang w:bidi="ar-IQ"/>
        </w:rPr>
      </w:pPr>
      <w:r w:rsidRPr="00953800">
        <w:rPr>
          <w:rFonts w:ascii="Simplified Arabic" w:hAnsi="Simplified Arabic" w:cs="Simplified Arabic" w:hint="cs"/>
          <w:b/>
          <w:bCs/>
          <w:sz w:val="28"/>
          <w:szCs w:val="28"/>
          <w:rtl/>
          <w:lang w:bidi="ar-IQ"/>
        </w:rPr>
        <w:t xml:space="preserve">المطلب الأول </w:t>
      </w:r>
      <w:r w:rsidRPr="00953800">
        <w:rPr>
          <w:rFonts w:ascii="Simplified Arabic" w:hAnsi="Simplified Arabic" w:cs="Simplified Arabic"/>
          <w:b/>
          <w:bCs/>
          <w:sz w:val="28"/>
          <w:szCs w:val="28"/>
          <w:rtl/>
          <w:lang w:bidi="ar-IQ"/>
        </w:rPr>
        <w:t>:</w:t>
      </w:r>
      <w:r w:rsidRPr="00953800">
        <w:rPr>
          <w:rFonts w:ascii="Simplified Arabic" w:hAnsi="Simplified Arabic" w:cs="Simplified Arabic" w:hint="cs"/>
          <w:b/>
          <w:bCs/>
          <w:sz w:val="28"/>
          <w:szCs w:val="28"/>
          <w:rtl/>
          <w:lang w:bidi="ar-IQ"/>
        </w:rPr>
        <w:t xml:space="preserve"> مفهوم دعوى الإلغاء وشروطها </w:t>
      </w:r>
    </w:p>
    <w:p w:rsidR="00D0611F" w:rsidRPr="00953800" w:rsidRDefault="00D0611F" w:rsidP="00D0611F">
      <w:pPr>
        <w:spacing w:line="240" w:lineRule="auto"/>
        <w:jc w:val="lowKashida"/>
        <w:rPr>
          <w:rFonts w:ascii="Simplified Arabic" w:hAnsi="Simplified Arabic" w:cs="Simplified Arabic"/>
          <w:b/>
          <w:bCs/>
          <w:sz w:val="28"/>
          <w:szCs w:val="28"/>
          <w:rtl/>
          <w:lang w:bidi="ar-IQ"/>
        </w:rPr>
      </w:pPr>
      <w:r w:rsidRPr="00953800">
        <w:rPr>
          <w:rFonts w:ascii="Simplified Arabic" w:hAnsi="Simplified Arabic" w:cs="Simplified Arabic" w:hint="cs"/>
          <w:b/>
          <w:bCs/>
          <w:sz w:val="28"/>
          <w:szCs w:val="28"/>
          <w:rtl/>
          <w:lang w:bidi="ar-IQ"/>
        </w:rPr>
        <w:lastRenderedPageBreak/>
        <w:t>الفرع الأول مفهوم دعوى الإلغاء</w:t>
      </w:r>
    </w:p>
    <w:p w:rsidR="00D0611F" w:rsidRPr="00953800" w:rsidRDefault="00D0611F" w:rsidP="00D0611F">
      <w:pPr>
        <w:spacing w:line="240" w:lineRule="auto"/>
        <w:jc w:val="lowKashida"/>
        <w:rPr>
          <w:rFonts w:ascii="Simplified Arabic" w:hAnsi="Simplified Arabic" w:cs="Simplified Arabic"/>
          <w:b/>
          <w:bCs/>
          <w:sz w:val="28"/>
          <w:szCs w:val="28"/>
          <w:rtl/>
          <w:lang w:bidi="ar-IQ"/>
        </w:rPr>
      </w:pPr>
      <w:r w:rsidRPr="00953800">
        <w:rPr>
          <w:rFonts w:ascii="Simplified Arabic" w:hAnsi="Simplified Arabic" w:cs="Simplified Arabic" w:hint="cs"/>
          <w:b/>
          <w:bCs/>
          <w:sz w:val="28"/>
          <w:szCs w:val="28"/>
          <w:rtl/>
          <w:lang w:bidi="ar-IQ"/>
        </w:rPr>
        <w:t xml:space="preserve"> أولاً : </w:t>
      </w:r>
      <w:r w:rsidRPr="00953800">
        <w:rPr>
          <w:rFonts w:ascii="Simplified Arabic" w:hAnsi="Simplified Arabic" w:cs="Simplified Arabic"/>
          <w:b/>
          <w:bCs/>
          <w:sz w:val="28"/>
          <w:szCs w:val="28"/>
          <w:rtl/>
          <w:lang w:bidi="ar-IQ"/>
        </w:rPr>
        <w:t>تعريف دعوى الإلغاء</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     دعوى الإلغاء هي دعوى قضائية ترفع</w:t>
      </w:r>
      <w:r w:rsidRPr="00953800">
        <w:rPr>
          <w:rFonts w:ascii="Simplified Arabic" w:hAnsi="Simplified Arabic" w:cs="Simplified Arabic" w:hint="cs"/>
          <w:sz w:val="28"/>
          <w:szCs w:val="28"/>
          <w:rtl/>
          <w:lang w:bidi="ar-IQ"/>
        </w:rPr>
        <w:t xml:space="preserve"> لل</w:t>
      </w:r>
      <w:r w:rsidRPr="00953800">
        <w:rPr>
          <w:rFonts w:ascii="Simplified Arabic" w:hAnsi="Simplified Arabic" w:cs="Simplified Arabic"/>
          <w:sz w:val="28"/>
          <w:szCs w:val="28"/>
          <w:rtl/>
          <w:lang w:bidi="ar-IQ"/>
        </w:rPr>
        <w:t>مطالبة بإلغاء قرار إداري يرى الطاعن انه صدر بالمخالفة لقواعد المشروعية</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وبالتالي فهي بالدرجة الأساس وسيلة لحماية مبدأ المشروعية، ويعود أصل هذه الدعوى في موطنها الأصلي فرنسا إلى التاريخ الذي حصل فيه مجلس الدولة الفرنسي على ولاية القضاء المفوض عام 1872 ،أما قبل ذلك فان الأمر لم يكن  يخرج عن كونه تظلما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رئاسيا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يقدمه صاحب الشأن إلى الإدارة القاضية أو الرئيس الإداري.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وظل مجلس الدولة الفرنسي(ومنذ التاريخ انف الذكر  )  الجهة المختصة بنظر دعوى الإلغاء لغاية عام 1953 ،وهو تاريخ إنشاء المحاكم الإدارية التي أصبحت وكأصل عام تنظر في دعوى الإلغاء بوصفها محكمة أول درجة وأصبح مجلس الدولة الفرنسي جهة استئنافية للإحكام </w:t>
      </w:r>
      <w:bookmarkStart w:id="0" w:name="_GoBack"/>
      <w:bookmarkEnd w:id="0"/>
      <w:r w:rsidRPr="00953800">
        <w:rPr>
          <w:rFonts w:ascii="Simplified Arabic" w:hAnsi="Simplified Arabic" w:cs="Simplified Arabic"/>
          <w:sz w:val="28"/>
          <w:szCs w:val="28"/>
          <w:rtl/>
          <w:lang w:bidi="ar-IQ"/>
        </w:rPr>
        <w:t xml:space="preserve">التي تصدر من تلك المحاكم ،وبعبارة أخرى إن دعوى الإلغاء بعد هذا التاريخ أصبحت تنظر على درجتين.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        أما بالنسبة للعراق ف</w:t>
      </w:r>
      <w:r w:rsidRPr="00953800">
        <w:rPr>
          <w:rFonts w:ascii="Simplified Arabic" w:hAnsi="Simplified Arabic" w:cs="Simplified Arabic" w:hint="cs"/>
          <w:sz w:val="28"/>
          <w:szCs w:val="28"/>
          <w:rtl/>
          <w:lang w:bidi="ar-IQ"/>
        </w:rPr>
        <w:t>ظ</w:t>
      </w:r>
      <w:r w:rsidRPr="00953800">
        <w:rPr>
          <w:rFonts w:ascii="Simplified Arabic" w:hAnsi="Simplified Arabic" w:cs="Simplified Arabic"/>
          <w:sz w:val="28"/>
          <w:szCs w:val="28"/>
          <w:rtl/>
          <w:lang w:bidi="ar-IQ"/>
        </w:rPr>
        <w:t xml:space="preserve">هرت هذه الدعوى بعد صدور التعديل الثاني لقانون مجلس الدولة رقم 106  لسنة 1989   الذي نص على إنشاء محكمة القضاء الإداري وحدد اختصاصها بالنظر في صحة القرارات الإدارية.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ثانيا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طبيعة دعوى الإلغاء.</w:t>
      </w:r>
    </w:p>
    <w:p w:rsidR="00D0611F" w:rsidRPr="00953800" w:rsidRDefault="00D0611F" w:rsidP="00D0611F">
      <w:pPr>
        <w:spacing w:line="240" w:lineRule="auto"/>
        <w:ind w:firstLine="720"/>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 xml:space="preserve">توصف دعوى الإلغاء بأنها دعوى موضوعية </w:t>
      </w:r>
      <w:r w:rsidRPr="00953800">
        <w:rPr>
          <w:rFonts w:ascii="Simplified Arabic" w:hAnsi="Simplified Arabic" w:cs="Simplified Arabic" w:hint="cs"/>
          <w:sz w:val="28"/>
          <w:szCs w:val="28"/>
          <w:rtl/>
          <w:lang w:bidi="ar-IQ"/>
        </w:rPr>
        <w:t xml:space="preserve">أو </w:t>
      </w:r>
      <w:r w:rsidRPr="00953800">
        <w:rPr>
          <w:rFonts w:ascii="Simplified Arabic" w:hAnsi="Simplified Arabic" w:cs="Simplified Arabic"/>
          <w:sz w:val="28"/>
          <w:szCs w:val="28"/>
          <w:rtl/>
          <w:lang w:bidi="ar-IQ"/>
        </w:rPr>
        <w:t>عينية توجه إلى قرار إداري غير مشروع ليتولى القضاء فحص مشروعيته بغض النظر عن الحقوق الشخصية المترتبة للمدعي</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،وهذا خلافا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لما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هو عليه الحال في دعوى القضاء الكامل والدعاوى المدنية عموما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والحقيقة إن هذه الطبيعة الخاصة لدعوى الإلغاء هي التي أملت مظاهر التمييز بينها وبين دعوى القضاء الكامل والدعاو</w:t>
      </w:r>
      <w:r w:rsidRPr="00953800">
        <w:rPr>
          <w:rFonts w:ascii="Simplified Arabic" w:hAnsi="Simplified Arabic" w:cs="Simplified Arabic" w:hint="cs"/>
          <w:sz w:val="28"/>
          <w:szCs w:val="28"/>
          <w:rtl/>
          <w:lang w:bidi="ar-IQ"/>
        </w:rPr>
        <w:t>ى</w:t>
      </w:r>
      <w:r w:rsidRPr="00953800">
        <w:rPr>
          <w:rFonts w:ascii="Simplified Arabic" w:hAnsi="Simplified Arabic" w:cs="Simplified Arabic"/>
          <w:sz w:val="28"/>
          <w:szCs w:val="28"/>
          <w:rtl/>
          <w:lang w:bidi="ar-IQ"/>
        </w:rPr>
        <w:t xml:space="preserve"> المدنية، </w:t>
      </w:r>
    </w:p>
    <w:p w:rsidR="00D0611F" w:rsidRPr="00953800" w:rsidRDefault="00D0611F" w:rsidP="00D0611F">
      <w:pPr>
        <w:spacing w:line="240" w:lineRule="auto"/>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ومن ملامح التمييز</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إن دعوى الإلغاء(وتبعا لهذه الطبيعة)  توجه ضد قرار إداري، أي إن المخاصم فيها هو القرار الإداري ،وهذا بطبيعة الحال يختلف عن</w:t>
      </w:r>
      <w:r w:rsidRPr="00953800">
        <w:rPr>
          <w:rFonts w:ascii="Simplified Arabic" w:hAnsi="Simplified Arabic" w:cs="Simplified Arabic" w:hint="cs"/>
          <w:sz w:val="28"/>
          <w:szCs w:val="28"/>
          <w:rtl/>
          <w:lang w:bidi="ar-IQ"/>
        </w:rPr>
        <w:t xml:space="preserve"> ا</w:t>
      </w:r>
      <w:r w:rsidRPr="00953800">
        <w:rPr>
          <w:rFonts w:ascii="Simplified Arabic" w:hAnsi="Simplified Arabic" w:cs="Simplified Arabic"/>
          <w:sz w:val="28"/>
          <w:szCs w:val="28"/>
          <w:rtl/>
          <w:lang w:bidi="ar-IQ"/>
        </w:rPr>
        <w:t xml:space="preserve">لدعوى المدنية التي يكون المخاصم فيها شخص. </w:t>
      </w:r>
    </w:p>
    <w:p w:rsidR="00D0611F" w:rsidRPr="00953800" w:rsidRDefault="00D0611F" w:rsidP="00D0611F">
      <w:pPr>
        <w:tabs>
          <w:tab w:val="left" w:pos="26"/>
        </w:tabs>
        <w:spacing w:line="240" w:lineRule="auto"/>
        <w:ind w:left="26"/>
        <w:jc w:val="lowKashida"/>
        <w:rPr>
          <w:rFonts w:ascii="Simplified Arabic" w:hAnsi="Simplified Arabic" w:cs="Simplified Arabic"/>
          <w:sz w:val="28"/>
          <w:szCs w:val="28"/>
          <w:rtl/>
          <w:lang w:bidi="ar-IQ"/>
        </w:rPr>
      </w:pPr>
      <w:r w:rsidRPr="00953800">
        <w:rPr>
          <w:rFonts w:ascii="Simplified Arabic" w:hAnsi="Simplified Arabic" w:cs="Simplified Arabic"/>
          <w:sz w:val="28"/>
          <w:szCs w:val="28"/>
          <w:rtl/>
          <w:lang w:bidi="ar-IQ"/>
        </w:rPr>
        <w:tab/>
        <w:t>و تبعا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لهذه الطبيعة أيضا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تقتصر سلطة القاضي على تقرير المشروعية من عدمها بينما يتناول القاضي في دعوى القضاء الكامل والدعوى المدنية الحقوق الشخصية للمدعي على </w:t>
      </w:r>
      <w:r w:rsidRPr="00953800">
        <w:rPr>
          <w:rFonts w:ascii="Simplified Arabic" w:hAnsi="Simplified Arabic" w:cs="Simplified Arabic"/>
          <w:sz w:val="28"/>
          <w:szCs w:val="28"/>
          <w:rtl/>
          <w:lang w:bidi="ar-IQ"/>
        </w:rPr>
        <w:lastRenderedPageBreak/>
        <w:t xml:space="preserve">اعتبار إنها تقوم </w:t>
      </w:r>
      <w:r w:rsidRPr="00953800">
        <w:rPr>
          <w:rFonts w:ascii="Simplified Arabic" w:hAnsi="Simplified Arabic" w:cs="Simplified Arabic" w:hint="cs"/>
          <w:sz w:val="28"/>
          <w:szCs w:val="28"/>
          <w:rtl/>
          <w:lang w:bidi="ar-IQ"/>
        </w:rPr>
        <w:t xml:space="preserve">على </w:t>
      </w:r>
      <w:r w:rsidRPr="00953800">
        <w:rPr>
          <w:rFonts w:ascii="Simplified Arabic" w:hAnsi="Simplified Arabic" w:cs="Simplified Arabic"/>
          <w:sz w:val="28"/>
          <w:szCs w:val="28"/>
          <w:rtl/>
          <w:lang w:bidi="ar-IQ"/>
        </w:rPr>
        <w:t>ادعاء بحق شخصي</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،كم</w:t>
      </w:r>
      <w:r w:rsidRPr="00953800">
        <w:rPr>
          <w:rFonts w:ascii="Simplified Arabic" w:hAnsi="Simplified Arabic" w:cs="Simplified Arabic" w:hint="cs"/>
          <w:sz w:val="28"/>
          <w:szCs w:val="28"/>
          <w:rtl/>
          <w:lang w:bidi="ar-IQ"/>
        </w:rPr>
        <w:t xml:space="preserve">ا </w:t>
      </w:r>
      <w:r w:rsidRPr="00953800">
        <w:rPr>
          <w:rFonts w:ascii="Simplified Arabic" w:hAnsi="Simplified Arabic" w:cs="Simplified Arabic"/>
          <w:sz w:val="28"/>
          <w:szCs w:val="28"/>
          <w:rtl/>
          <w:lang w:bidi="ar-IQ"/>
        </w:rPr>
        <w:t xml:space="preserve">وسع المشرع من إمكانية الطعن بدعوى الإلغاء </w:t>
      </w:r>
      <w:r w:rsidRPr="00953800">
        <w:rPr>
          <w:rFonts w:ascii="Simplified Arabic" w:hAnsi="Simplified Arabic" w:cs="Simplified Arabic" w:hint="cs"/>
          <w:sz w:val="28"/>
          <w:szCs w:val="28"/>
          <w:rtl/>
          <w:lang w:bidi="ar-IQ"/>
        </w:rPr>
        <w:t>إذ</w:t>
      </w:r>
      <w:r w:rsidRPr="00953800">
        <w:rPr>
          <w:rFonts w:ascii="Simplified Arabic" w:hAnsi="Simplified Arabic" w:cs="Simplified Arabic"/>
          <w:sz w:val="28"/>
          <w:szCs w:val="28"/>
          <w:rtl/>
          <w:lang w:bidi="ar-IQ"/>
        </w:rPr>
        <w:t xml:space="preserve"> أسسها على فكرة المصلحة الشخصية ولم يتطلب فيها الحق الشخصي</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،وأخيرا</w:t>
      </w:r>
      <w:r w:rsidRPr="00953800">
        <w:rPr>
          <w:rFonts w:ascii="Simplified Arabic" w:hAnsi="Simplified Arabic" w:cs="Simplified Arabic" w:hint="cs"/>
          <w:sz w:val="28"/>
          <w:szCs w:val="28"/>
          <w:rtl/>
          <w:lang w:bidi="ar-IQ"/>
        </w:rPr>
        <w:t>ً</w:t>
      </w:r>
      <w:r w:rsidRPr="00953800">
        <w:rPr>
          <w:rFonts w:ascii="Simplified Arabic" w:hAnsi="Simplified Arabic" w:cs="Simplified Arabic"/>
          <w:sz w:val="28"/>
          <w:szCs w:val="28"/>
          <w:rtl/>
          <w:lang w:bidi="ar-IQ"/>
        </w:rPr>
        <w:t xml:space="preserve"> نذكر إن القاضي في دعوى الإلغاء لا</w:t>
      </w:r>
      <w:r w:rsidRPr="00953800">
        <w:rPr>
          <w:rFonts w:ascii="Simplified Arabic" w:hAnsi="Simplified Arabic" w:cs="Simplified Arabic" w:hint="cs"/>
          <w:sz w:val="28"/>
          <w:szCs w:val="28"/>
          <w:rtl/>
          <w:lang w:bidi="ar-IQ"/>
        </w:rPr>
        <w:t xml:space="preserve"> </w:t>
      </w:r>
      <w:r w:rsidRPr="00953800">
        <w:rPr>
          <w:rFonts w:ascii="Simplified Arabic" w:hAnsi="Simplified Arabic" w:cs="Simplified Arabic"/>
          <w:sz w:val="28"/>
          <w:szCs w:val="28"/>
          <w:rtl/>
          <w:lang w:bidi="ar-IQ"/>
        </w:rPr>
        <w:t xml:space="preserve">يتقيد بالأدلة المعروضة وإنما يتحرى عن أدلة أخرى حتى لولم تعرض </w:t>
      </w:r>
      <w:r w:rsidRPr="00953800">
        <w:rPr>
          <w:rFonts w:ascii="Simplified Arabic" w:hAnsi="Simplified Arabic" w:cs="Simplified Arabic" w:hint="cs"/>
          <w:sz w:val="28"/>
          <w:szCs w:val="28"/>
          <w:rtl/>
          <w:lang w:bidi="ar-IQ"/>
        </w:rPr>
        <w:t>أمام</w:t>
      </w:r>
      <w:r w:rsidRPr="00953800">
        <w:rPr>
          <w:rFonts w:ascii="Simplified Arabic" w:hAnsi="Simplified Arabic" w:cs="Simplified Arabic"/>
          <w:sz w:val="28"/>
          <w:szCs w:val="28"/>
          <w:rtl/>
          <w:lang w:bidi="ar-IQ"/>
        </w:rPr>
        <w:t xml:space="preserve"> المحكمة.</w:t>
      </w:r>
    </w:p>
    <w:p w:rsidR="00D0611F" w:rsidRPr="00953800" w:rsidRDefault="00D0611F" w:rsidP="00D0611F">
      <w:pPr>
        <w:spacing w:line="240" w:lineRule="auto"/>
        <w:jc w:val="lowKashida"/>
        <w:rPr>
          <w:rFonts w:ascii="Simplified Arabic" w:hAnsi="Simplified Arabic" w:cs="Simplified Arabic"/>
          <w:sz w:val="28"/>
          <w:szCs w:val="28"/>
          <w:lang w:bidi="ar-IQ"/>
        </w:rPr>
      </w:pPr>
    </w:p>
    <w:p w:rsidR="00D0611F" w:rsidRPr="00953800" w:rsidRDefault="00D0611F" w:rsidP="00D0611F">
      <w:pPr>
        <w:spacing w:line="240" w:lineRule="auto"/>
        <w:jc w:val="lowKashida"/>
        <w:rPr>
          <w:rFonts w:ascii="Simplified Arabic" w:hAnsi="Simplified Arabic" w:cs="Simplified Arabic"/>
          <w:sz w:val="28"/>
          <w:szCs w:val="28"/>
          <w:rtl/>
          <w:lang w:bidi="ar-IQ"/>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D0611F" w:rsidRDefault="00D0611F" w:rsidP="00D0611F">
      <w:pPr>
        <w:spacing w:line="240" w:lineRule="auto"/>
        <w:jc w:val="center"/>
        <w:rPr>
          <w:rFonts w:ascii="Simplified Arabic" w:hAnsi="Simplified Arabic" w:cs="Simplified Arabic" w:hint="cs"/>
          <w:b/>
          <w:bCs/>
          <w:sz w:val="28"/>
          <w:szCs w:val="28"/>
          <w:rtl/>
        </w:rPr>
      </w:pPr>
    </w:p>
    <w:p w:rsidR="0012077B" w:rsidRDefault="0012077B"/>
    <w:sectPr w:rsidR="0012077B" w:rsidSect="00994C2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67" w:rsidRDefault="00D17A67" w:rsidP="00D0611F">
      <w:pPr>
        <w:spacing w:after="0" w:line="240" w:lineRule="auto"/>
      </w:pPr>
      <w:r>
        <w:separator/>
      </w:r>
    </w:p>
  </w:endnote>
  <w:endnote w:type="continuationSeparator" w:id="0">
    <w:p w:rsidR="00D17A67" w:rsidRDefault="00D17A67" w:rsidP="00D0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67" w:rsidRDefault="00D17A67" w:rsidP="00D0611F">
      <w:pPr>
        <w:spacing w:after="0" w:line="240" w:lineRule="auto"/>
      </w:pPr>
      <w:r>
        <w:separator/>
      </w:r>
    </w:p>
  </w:footnote>
  <w:footnote w:type="continuationSeparator" w:id="0">
    <w:p w:rsidR="00D17A67" w:rsidRDefault="00D17A67" w:rsidP="00D06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302"/>
    <w:multiLevelType w:val="hybridMultilevel"/>
    <w:tmpl w:val="D8ACFF76"/>
    <w:lvl w:ilvl="0" w:tplc="B168997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4B81B79"/>
    <w:multiLevelType w:val="hybridMultilevel"/>
    <w:tmpl w:val="8F368E36"/>
    <w:lvl w:ilvl="0" w:tplc="4EE290D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3393045"/>
    <w:multiLevelType w:val="hybridMultilevel"/>
    <w:tmpl w:val="7E82B76A"/>
    <w:lvl w:ilvl="0" w:tplc="0ED42DFE">
      <w:start w:val="1"/>
      <w:numFmt w:val="decimal"/>
      <w:lvlText w:val="%1-"/>
      <w:lvlJc w:val="left"/>
      <w:pPr>
        <w:tabs>
          <w:tab w:val="num" w:pos="720"/>
        </w:tabs>
        <w:ind w:left="720" w:hanging="360"/>
      </w:pPr>
      <w:rPr>
        <w:lang w:bidi="ar-IQ"/>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ED"/>
    <w:rsid w:val="0012077B"/>
    <w:rsid w:val="00994C2A"/>
    <w:rsid w:val="00D0611F"/>
    <w:rsid w:val="00D17A67"/>
    <w:rsid w:val="00F61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F"/>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Char Char"/>
    <w:basedOn w:val="a0"/>
    <w:link w:val="a3"/>
    <w:locked/>
    <w:rsid w:val="00D0611F"/>
    <w:rPr>
      <w:sz w:val="24"/>
      <w:szCs w:val="24"/>
      <w:lang w:bidi="ar-IQ"/>
    </w:rPr>
  </w:style>
  <w:style w:type="paragraph" w:styleId="a3">
    <w:name w:val="footnote text"/>
    <w:aliases w:val="Char"/>
    <w:basedOn w:val="a"/>
    <w:link w:val="Char"/>
    <w:unhideWhenUsed/>
    <w:rsid w:val="00D0611F"/>
    <w:pPr>
      <w:spacing w:after="0" w:line="240" w:lineRule="auto"/>
    </w:pPr>
    <w:rPr>
      <w:rFonts w:eastAsiaTheme="minorHAnsi"/>
      <w:sz w:val="24"/>
      <w:szCs w:val="24"/>
      <w:lang w:bidi="ar-IQ"/>
    </w:rPr>
  </w:style>
  <w:style w:type="character" w:customStyle="1" w:styleId="Char1">
    <w:name w:val="نص حاشية سفلية Char1"/>
    <w:basedOn w:val="a0"/>
    <w:uiPriority w:val="99"/>
    <w:semiHidden/>
    <w:rsid w:val="00D0611F"/>
    <w:rPr>
      <w:rFonts w:eastAsiaTheme="minorEastAsia"/>
      <w:sz w:val="20"/>
      <w:szCs w:val="20"/>
    </w:rPr>
  </w:style>
  <w:style w:type="character" w:styleId="a4">
    <w:name w:val="footnote reference"/>
    <w:basedOn w:val="a0"/>
    <w:unhideWhenUsed/>
    <w:rsid w:val="00D061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11F"/>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aliases w:val="Char Char"/>
    <w:basedOn w:val="a0"/>
    <w:link w:val="a3"/>
    <w:locked/>
    <w:rsid w:val="00D0611F"/>
    <w:rPr>
      <w:sz w:val="24"/>
      <w:szCs w:val="24"/>
      <w:lang w:bidi="ar-IQ"/>
    </w:rPr>
  </w:style>
  <w:style w:type="paragraph" w:styleId="a3">
    <w:name w:val="footnote text"/>
    <w:aliases w:val="Char"/>
    <w:basedOn w:val="a"/>
    <w:link w:val="Char"/>
    <w:unhideWhenUsed/>
    <w:rsid w:val="00D0611F"/>
    <w:pPr>
      <w:spacing w:after="0" w:line="240" w:lineRule="auto"/>
    </w:pPr>
    <w:rPr>
      <w:rFonts w:eastAsiaTheme="minorHAnsi"/>
      <w:sz w:val="24"/>
      <w:szCs w:val="24"/>
      <w:lang w:bidi="ar-IQ"/>
    </w:rPr>
  </w:style>
  <w:style w:type="character" w:customStyle="1" w:styleId="Char1">
    <w:name w:val="نص حاشية سفلية Char1"/>
    <w:basedOn w:val="a0"/>
    <w:uiPriority w:val="99"/>
    <w:semiHidden/>
    <w:rsid w:val="00D0611F"/>
    <w:rPr>
      <w:rFonts w:eastAsiaTheme="minorEastAsia"/>
      <w:sz w:val="20"/>
      <w:szCs w:val="20"/>
    </w:rPr>
  </w:style>
  <w:style w:type="character" w:styleId="a4">
    <w:name w:val="footnote reference"/>
    <w:basedOn w:val="a0"/>
    <w:unhideWhenUsed/>
    <w:rsid w:val="00D061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1037</Words>
  <Characters>5911</Characters>
  <Application>Microsoft Office Word</Application>
  <DocSecurity>0</DocSecurity>
  <Lines>49</Lines>
  <Paragraphs>13</Paragraphs>
  <ScaleCrop>false</ScaleCrop>
  <Company>SACC</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2020-03-31T16:58:00Z</dcterms:created>
  <dcterms:modified xsi:type="dcterms:W3CDTF">2020-03-31T17:00:00Z</dcterms:modified>
</cp:coreProperties>
</file>