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360"/>
        <w:ind w:right="0" w:left="0" w:firstLine="0"/>
        <w:jc w:val="left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ثالثا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الجروح الحادة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 تعرف الجروح الحادة بأنها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هي التي تحدثها آلة 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فوق الجلد، سواء أكانت ذات حد واحد مثل السكين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أو ذات حدين مثل الخنجر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وتنقسم الجروح الحادة إلى قسمين قطعية و طعنية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3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الجروح القطعية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وتحدث بِجَر الآلة الحادة أو سحبها على الجلد مثل الذبح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فالطرف الحاد هو الذي يحدث الجرح  ولا يشترك الطرف الآخر في إحداثه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وتكون الجروح القطعية قليلة العمق غزيرة النزف وقد تنتهي بجرح سطحي أو خط سحجي يسمى ذيل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36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 أمّا عن صفات أو خصائص الجروح القطعية فهي كما يأتي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أبعاد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طوله أكبر من عرضه أو عمقه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الحواف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منتظمة ومتباعدة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الزوايا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قاعدة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نظيفة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الشعر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أطراف الشعر مقطوعة بطريقة 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غير مصحوبة بسحجات او كدمات إلا في حالة اصطدام بمقبض السلاح مثلا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النزيف الدموي غزير سواء أكان داخليا أم خارجيا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بسبب قطع الأوعية الدموية قطعاً كاملاً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إلتهاب الجرح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التقيح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نادر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5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الالتئام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يلتئم الجرح بسرعة ويترك ندب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أثر الالتئام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خَطّية غير مشوهة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أهمية الجروح القطعية من الناحية الطبية الشرعية الجنائية 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يستدل من الجروح القطعية ما يأتي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دليل عنف او مقاومة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مثل وجود جروح دفاعية قطعية سطحية بالذراع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دليل على الإنتحار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مثل وجود جروح ترددية قطعية عند بداية الجرح او بمكان اَخر من أماكن الإنتحار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ج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التعرف على الأداة المستخدمة وكيفية حدوث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من خلال خصائص الجرح يتضح ان سبب الجرح هو المرور بحافة أداة حادة فوق الجلد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الجروح الطعنية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 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تحدث هذه الجروح  نتيجة الطعن بأداة ذات نصل حاد وطرف مدبب، يغرز في الجسم سواء أكان ذلك باتجاه عمودي أم مائل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 الجرح الطعني يكون عميق غالبا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ويأخذ شكله مقطع النصل للآلة أو الأداة الحادة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كالخنجر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أو السكين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ويكون عمق الجرح بطول النصل إذا حصل في مناطق رخوة كالبطن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ويسبب أضرارا كبيرة في الأحشاء الداخلية للجسم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 للجروح الطعنية خصائص مميزة لها وهي كما يأتي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أبعاد الجرح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عمق الجرح أكبر من طوله أو عرضه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الحواف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منتظمة ومتباعدة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ج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الزوايا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حادة في حالة الطعن بأداة ذات نصلين حادين، كالخنجر،أو تكون احدى الزوايا حادة والأخرى أعرض، أو بيضاوية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في حالة الطعن بأداة ذات نصل حاد واحد، مثل السكين أو السيف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د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قاعدة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غير نظيفة، فقد يكون بها دم متجلط، أو قطع من نهاية الأداة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أطراف الشعر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مقطوعة بطريقة 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السحجات والكدمات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غير محاط بسحجات او كدمات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ز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النزيف الدموي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غزير، داخلي وخارجي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إلتهاب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التقيح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شائع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ط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الألتئام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بطيء ويترك ندبة غير مشوهة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الأهمية الطبية الشرعية الجنائية للجروح الطعنية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16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أ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دليل عنف أو مقاومة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التعرف على سبب الوفاة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ج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التعرف على الأداة المستخدمة وكيفية حدوث الجرح،  لأن النصل المحدث للجرح ذي حد واحد أو حدين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وقد يستنتج من قوة الطعنة وغورها داخل الجسم على وقائع الإنتقام أو جرائم غسل العار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رابعا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الجروح الوخزية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تعرف الجروح الوخزية بأنها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الجروح التي تسببها آلة مدببة ليست ذات نصل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مثل  المسمار والإبرة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وما يتشابه معهما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وقد تحدث الآلة الواخزة جرحا لا يشبها شكلها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فيكون شكل الجرح صليبيا أثر الطعن بآلة مربعة الشكل أو مثلثة الشكل إذا كانت الآلة المستعملة في إحداثه مبردا على سبيل المثال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ويتغير شكل الجرح بسبب مطاطية النسيج العضلي للجسم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أمّا عن الصفات المميزة لها فتوصف كالآتي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3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عميقة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3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حافتها 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3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شكلها يختلف حسب شكل الآلة الواخزة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3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قد يكون بجانبها كدمة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كما لو اصطدم مقبض المفك بعد أن دخل النسيج العضلي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خامسا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الجروح الرضية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الراضة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)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الجروح الرضية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هي التي تحدثها آلة ذات سطح كليل غير حاد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كالضرب بأداة راضة ثقيلة، أو الأصطدام بجسم راض، مثل السيارة، الحجر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..........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إلخ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وقد يصاحب هذا النوع من الجروح انكسار في العظام وتمزق في الأحشاء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 ومن أهم الخصائص المميزة لها هي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أبعاد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لا توجد علاقة بين طول الجرح وعرضه أو عمقه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الحواف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غير منتظمة، ومشرذمة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الزوايا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غير منتظمة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قاعدة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غير نظيفة، فقد يوجد فيها أنسجة ممزقة أو بعض الأعصاب والعروق أو دم متجلط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أو بقايا شعر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الشعر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أطراف الشعر غير منتظمة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السحجات والكدمات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محاطة ببعض السحجات والكدمات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النزيف الدموي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النزف ليس غزيرا لأن الآلة الراضة تضغط على الأوعية الدموية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التقيح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شائع الحدوث لتلوث الأنسجة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360"/>
        <w:ind w:right="0" w:left="840" w:hanging="48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  <w:t xml:space="preserve">الإلتئام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يلتئم ببطء، ويترك ندبة كبيرة قد تكون مشوهة بعد الشفاء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center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أهمية الجروح الرضية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الراضة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2"/>
          <w:shd w:fill="auto" w:val="clear"/>
        </w:rPr>
        <w:t xml:space="preserve">من الناحية الطبية الشرعية الجنائية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دليل عنف أو مقاومة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التعرف على سبب الوفاة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ج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التعرف على الأداة المستخدمة وكيفية حدوث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من خلال خصائص الجرح يتضح ان الأداة راضة ثقيلة، وقوة الضرب كبيرة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وقد تحدث الجروح الرضية اصابات داخلية كبيرة من دون أن  يصاحبها جرح  ظاهري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كتكسر في الجمجمة  الأضلاع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وتمزقات في القلب والرئتين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سادسا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الجروح الرضية الجذية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الراضة القاطعة</w:t>
      </w:r>
      <w:r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36"/>
          <w:shd w:fill="auto" w:val="clear"/>
        </w:rPr>
        <w:t xml:space="preserve">).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تعرف بأنها تلك الجروح التي تسببها آلة أو أداة ثقيلة ذات طرف حاد كالفأس والطبر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360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ومن أهم صفاتها المميزة لها هي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1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الحافة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مستقيمة نسبيا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مصحوبة بكدمات وسحجات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تسبب كسرا مستقيما في العظم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يصاحبها قطع غير منتظم في النسيج العضلي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قد تحتوي على أجسام غريبة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من بقايا شظايا العظم أو الشعر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 الالتهاب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محتمل بسبب تلوث الجرح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9"/>
        </w:numPr>
        <w:bidi w:val="true"/>
        <w:spacing w:before="0" w:after="0" w:line="360"/>
        <w:ind w:right="0" w:left="720" w:hanging="36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تترك ندبا بعد الشفاء وشكلها أقل انتظاما من ندبة الجروح الحادة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9">
    <w:abstractNumId w:val="18"/>
  </w:num>
  <w:num w:numId="13">
    <w:abstractNumId w:val="12"/>
  </w: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